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714"/>
      </w:tblGrid>
      <w:tr w:rsidR="00DC4A79" w14:paraId="25B46C4D" w14:textId="77777777">
        <w:tc>
          <w:tcPr>
            <w:tcW w:w="8714" w:type="dxa"/>
          </w:tcPr>
          <w:p w14:paraId="0CCD466F" w14:textId="77777777" w:rsidR="00DC4A79" w:rsidRPr="00FC332E" w:rsidRDefault="00DC4A79" w:rsidP="0016347A">
            <w:pPr>
              <w:jc w:val="center"/>
              <w:rPr>
                <w:rFonts w:ascii="Arial" w:hAnsi="Arial"/>
              </w:rPr>
            </w:pPr>
            <w:r w:rsidRPr="00FC332E">
              <w:rPr>
                <w:rFonts w:ascii="Arial" w:hAnsi="Arial"/>
                <w:noProof/>
                <w:lang w:val="es-MX" w:eastAsia="es-MX"/>
              </w:rPr>
              <w:drawing>
                <wp:inline distT="0" distB="0" distL="0" distR="0" wp14:anchorId="0553055C" wp14:editId="5D0148BA">
                  <wp:extent cx="2137410" cy="1526218"/>
                  <wp:effectExtent l="25400" t="0" r="0" b="0"/>
                  <wp:docPr id="2" name="Imagen 0" descr="i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vg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06" cy="152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13C4DA" w14:textId="3938416D" w:rsidR="006A4DED" w:rsidRPr="00055A20" w:rsidRDefault="00055A20" w:rsidP="0016347A">
            <w:pPr>
              <w:jc w:val="center"/>
              <w:rPr>
                <w:rFonts w:ascii="Arial" w:hAnsi="Arial"/>
                <w:sz w:val="28"/>
              </w:rPr>
            </w:pPr>
            <w:r w:rsidRPr="00055A20">
              <w:rPr>
                <w:rFonts w:ascii="Arial" w:hAnsi="Arial"/>
                <w:sz w:val="28"/>
              </w:rPr>
              <w:t xml:space="preserve">AREA: </w:t>
            </w:r>
            <w:r w:rsidR="00D27046" w:rsidRPr="00055A20">
              <w:rPr>
                <w:rFonts w:ascii="Arial" w:hAnsi="Arial"/>
                <w:sz w:val="28"/>
              </w:rPr>
              <w:t>LABORATORIO DE GENÉTICA</w:t>
            </w:r>
          </w:p>
          <w:p w14:paraId="23739F56" w14:textId="77777777" w:rsidR="00DC4A79" w:rsidRPr="00FC332E" w:rsidRDefault="00DC4A79" w:rsidP="0016347A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DC4A79" w14:paraId="732A6B39" w14:textId="77777777">
        <w:tc>
          <w:tcPr>
            <w:tcW w:w="8714" w:type="dxa"/>
            <w:shd w:val="clear" w:color="auto" w:fill="003366"/>
          </w:tcPr>
          <w:p w14:paraId="15AB9972" w14:textId="77777777" w:rsidR="00DC4A79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color w:val="FFFFFF" w:themeColor="background1"/>
              </w:rPr>
              <w:t>Nombre:</w:t>
            </w:r>
          </w:p>
        </w:tc>
      </w:tr>
      <w:tr w:rsidR="00DC4A79" w14:paraId="5C077185" w14:textId="77777777">
        <w:tc>
          <w:tcPr>
            <w:tcW w:w="8714" w:type="dxa"/>
            <w:shd w:val="clear" w:color="auto" w:fill="auto"/>
          </w:tcPr>
          <w:p w14:paraId="3D606E7B" w14:textId="7BB54FE4"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</w:p>
          <w:p w14:paraId="00814EB6" w14:textId="539E2487" w:rsidR="00DC4A79" w:rsidRDefault="00487F8A" w:rsidP="00086A4F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Homogenizador de Tejidos.</w:t>
            </w:r>
          </w:p>
          <w:p w14:paraId="0D56F526" w14:textId="77777777" w:rsidR="00086A4F" w:rsidRPr="00FC332E" w:rsidRDefault="00086A4F" w:rsidP="00086A4F">
            <w:pPr>
              <w:rPr>
                <w:rFonts w:ascii="Arial" w:hAnsi="Arial"/>
                <w:noProof/>
                <w:lang w:eastAsia="es-ES_tradnl"/>
              </w:rPr>
            </w:pPr>
          </w:p>
        </w:tc>
      </w:tr>
      <w:tr w:rsidR="00DC4A79" w14:paraId="63210F01" w14:textId="77777777">
        <w:tc>
          <w:tcPr>
            <w:tcW w:w="8714" w:type="dxa"/>
            <w:shd w:val="clear" w:color="auto" w:fill="003366"/>
          </w:tcPr>
          <w:p w14:paraId="249AD66E" w14:textId="77777777"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Marca y modelo:</w:t>
            </w:r>
          </w:p>
        </w:tc>
      </w:tr>
      <w:tr w:rsidR="00DC4A79" w14:paraId="564B1BC7" w14:textId="77777777">
        <w:tc>
          <w:tcPr>
            <w:tcW w:w="8714" w:type="dxa"/>
            <w:shd w:val="clear" w:color="auto" w:fill="FFFFFF"/>
          </w:tcPr>
          <w:p w14:paraId="0649796D" w14:textId="77777777" w:rsidR="00DC4A79" w:rsidRPr="00FC332E" w:rsidRDefault="00DC4A79" w:rsidP="00DC4A79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eastAsia="es-ES_tradnl"/>
              </w:rPr>
            </w:pPr>
          </w:p>
          <w:p w14:paraId="4BC3F8D4" w14:textId="191BB3D6" w:rsidR="00FC332E" w:rsidRDefault="00086A4F" w:rsidP="00FC33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Marca: QIAGEN</w:t>
            </w:r>
          </w:p>
          <w:p w14:paraId="382DB9A1" w14:textId="266CEF4C" w:rsidR="00D27046" w:rsidRPr="00625779" w:rsidRDefault="00086A4F" w:rsidP="00FC332E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</w:rPr>
              <w:t xml:space="preserve">Modelo: </w:t>
            </w:r>
            <w:proofErr w:type="spellStart"/>
            <w:r>
              <w:rPr>
                <w:rFonts w:ascii="Arial" w:hAnsi="Arial"/>
              </w:rPr>
              <w:t>TissueLyser</w:t>
            </w:r>
            <w:proofErr w:type="spellEnd"/>
            <w:r>
              <w:rPr>
                <w:rFonts w:ascii="Arial" w:hAnsi="Arial"/>
              </w:rPr>
              <w:t xml:space="preserve"> II</w:t>
            </w:r>
            <w:r w:rsidR="00487F8A">
              <w:rPr>
                <w:rFonts w:ascii="Arial" w:hAnsi="Arial"/>
              </w:rPr>
              <w:t xml:space="preserve"> 85300</w:t>
            </w:r>
          </w:p>
          <w:p w14:paraId="4D371C72" w14:textId="77777777" w:rsidR="00DC4A79" w:rsidRPr="00FC332E" w:rsidRDefault="00DC4A79" w:rsidP="00DC4A79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  <w:tr w:rsidR="00DC4A79" w14:paraId="2857D525" w14:textId="77777777">
        <w:tc>
          <w:tcPr>
            <w:tcW w:w="8714" w:type="dxa"/>
            <w:shd w:val="clear" w:color="auto" w:fill="003366"/>
          </w:tcPr>
          <w:p w14:paraId="1A757D62" w14:textId="77777777" w:rsidR="00DC4A79" w:rsidRPr="00FC332E" w:rsidRDefault="00DC4A79" w:rsidP="006A4DED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 xml:space="preserve">Especificaciones </w:t>
            </w:r>
          </w:p>
        </w:tc>
      </w:tr>
      <w:tr w:rsidR="00DC4A79" w14:paraId="71A3C2AC" w14:textId="77777777">
        <w:tc>
          <w:tcPr>
            <w:tcW w:w="8714" w:type="dxa"/>
            <w:shd w:val="clear" w:color="auto" w:fill="FFFFFF"/>
          </w:tcPr>
          <w:p w14:paraId="44A712C6" w14:textId="77777777" w:rsidR="00086A4F" w:rsidRDefault="00086A4F" w:rsidP="00D27046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</w:p>
          <w:p w14:paraId="05CA0AF4" w14:textId="3C599461" w:rsidR="00E05FD4" w:rsidRDefault="00E05FD4" w:rsidP="00E05FD4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 xml:space="preserve">El TissueLyser II es un disruptor </w:t>
            </w:r>
            <w:r w:rsidR="004A4AC4">
              <w:rPr>
                <w:rFonts w:ascii="Arial" w:hAnsi="Arial"/>
                <w:noProof/>
                <w:lang w:eastAsia="es-ES_tradnl"/>
              </w:rPr>
              <w:t xml:space="preserve">u homogenizador </w:t>
            </w:r>
            <w:r>
              <w:rPr>
                <w:rFonts w:ascii="Arial" w:hAnsi="Arial"/>
                <w:noProof/>
                <w:lang w:eastAsia="es-ES_tradnl"/>
              </w:rPr>
              <w:t xml:space="preserve">de tejidos para </w:t>
            </w:r>
            <w:r w:rsidRPr="00E05FD4">
              <w:rPr>
                <w:rFonts w:ascii="Arial" w:hAnsi="Arial"/>
                <w:noProof/>
                <w:lang w:eastAsia="es-ES_tradnl"/>
              </w:rPr>
              <w:t xml:space="preserve">múltiples muestras biológicas a través de </w:t>
            </w:r>
            <w:r>
              <w:rPr>
                <w:rFonts w:ascii="Arial" w:hAnsi="Arial"/>
                <w:noProof/>
                <w:lang w:eastAsia="es-ES_tradnl"/>
              </w:rPr>
              <w:t xml:space="preserve">una </w:t>
            </w:r>
            <w:r w:rsidRPr="00E05FD4">
              <w:rPr>
                <w:rFonts w:ascii="Arial" w:hAnsi="Arial"/>
                <w:noProof/>
                <w:lang w:eastAsia="es-ES_tradnl"/>
              </w:rPr>
              <w:t xml:space="preserve">agitación </w:t>
            </w:r>
            <w:r>
              <w:rPr>
                <w:rFonts w:ascii="Arial" w:hAnsi="Arial"/>
                <w:noProof/>
                <w:lang w:eastAsia="es-ES_tradnl"/>
              </w:rPr>
              <w:t xml:space="preserve">a alta velocidad </w:t>
            </w:r>
            <w:r w:rsidRPr="00E05FD4">
              <w:rPr>
                <w:rFonts w:ascii="Arial" w:hAnsi="Arial"/>
                <w:noProof/>
                <w:lang w:eastAsia="es-ES_tradnl"/>
              </w:rPr>
              <w:t xml:space="preserve">en tubos de plástico con </w:t>
            </w:r>
            <w:r>
              <w:rPr>
                <w:rFonts w:ascii="Arial" w:hAnsi="Arial"/>
                <w:noProof/>
                <w:lang w:eastAsia="es-ES_tradnl"/>
              </w:rPr>
              <w:t xml:space="preserve">perlas de </w:t>
            </w:r>
            <w:r w:rsidRPr="00E05FD4">
              <w:rPr>
                <w:rFonts w:ascii="Arial" w:hAnsi="Arial"/>
                <w:noProof/>
                <w:lang w:eastAsia="es-ES_tradnl"/>
              </w:rPr>
              <w:t xml:space="preserve">acero inoxidable, carburo de tungsteno, o </w:t>
            </w:r>
            <w:r>
              <w:rPr>
                <w:rFonts w:ascii="Arial" w:hAnsi="Arial"/>
                <w:noProof/>
                <w:lang w:eastAsia="es-ES_tradnl"/>
              </w:rPr>
              <w:t>cuentas de vidrio. Puede procesar</w:t>
            </w:r>
            <w:r w:rsidRPr="00E05FD4">
              <w:rPr>
                <w:rFonts w:ascii="Arial" w:hAnsi="Arial"/>
                <w:noProof/>
                <w:lang w:eastAsia="es-ES_tradnl"/>
              </w:rPr>
              <w:t xml:space="preserve"> hasta 48 o 192 muestras al mismo tiempo. </w:t>
            </w:r>
            <w:r>
              <w:rPr>
                <w:rFonts w:ascii="Arial" w:hAnsi="Arial"/>
                <w:noProof/>
                <w:lang w:eastAsia="es-ES_tradnl"/>
              </w:rPr>
              <w:t>Es p</w:t>
            </w:r>
            <w:r w:rsidRPr="00E05FD4">
              <w:rPr>
                <w:rFonts w:ascii="Arial" w:hAnsi="Arial"/>
                <w:noProof/>
                <w:lang w:eastAsia="es-ES_tradnl"/>
              </w:rPr>
              <w:t>ráctico y seguro</w:t>
            </w:r>
            <w:r w:rsidR="00487F8A">
              <w:rPr>
                <w:rFonts w:ascii="Arial" w:hAnsi="Arial"/>
                <w:noProof/>
                <w:lang w:eastAsia="es-ES_tradnl"/>
              </w:rPr>
              <w:t>.</w:t>
            </w:r>
          </w:p>
          <w:p w14:paraId="0C9B9BC4" w14:textId="6770A26D" w:rsidR="004A4AC4" w:rsidRPr="00E05FD4" w:rsidRDefault="00E05FD4" w:rsidP="004A4AC4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  <w:r w:rsidRPr="00E05FD4">
              <w:rPr>
                <w:rFonts w:ascii="Arial" w:hAnsi="Arial"/>
                <w:noProof/>
                <w:lang w:eastAsia="es-ES_tradnl"/>
              </w:rPr>
              <w:t xml:space="preserve">Alternativamente, un conjunto recipiente de molienda se puede utilizar para procesar muestras grandes. </w:t>
            </w:r>
            <w:r w:rsidR="004A4AC4">
              <w:rPr>
                <w:rFonts w:ascii="Arial" w:hAnsi="Arial"/>
                <w:noProof/>
                <w:lang w:eastAsia="es-ES_tradnl"/>
              </w:rPr>
              <w:t xml:space="preserve">Posee una gran variedad </w:t>
            </w:r>
            <w:r w:rsidR="004A4AC4" w:rsidRPr="00E05FD4">
              <w:rPr>
                <w:rFonts w:ascii="Arial" w:hAnsi="Arial"/>
                <w:noProof/>
                <w:lang w:eastAsia="es-ES_tradnl"/>
              </w:rPr>
              <w:t xml:space="preserve">de accesorios disponibles </w:t>
            </w:r>
            <w:r w:rsidR="004A4AC4">
              <w:rPr>
                <w:rFonts w:ascii="Arial" w:hAnsi="Arial"/>
                <w:noProof/>
                <w:lang w:eastAsia="es-ES_tradnl"/>
              </w:rPr>
              <w:t xml:space="preserve">lo que permite la disrupción de una amplia gama de tejidos incluidos tejidos dificiles. </w:t>
            </w:r>
          </w:p>
          <w:p w14:paraId="6AE1C086" w14:textId="77777777" w:rsidR="00E05FD4" w:rsidRPr="00FC332E" w:rsidRDefault="00E05FD4" w:rsidP="00086A4F">
            <w:pPr>
              <w:spacing w:line="276" w:lineRule="auto"/>
              <w:jc w:val="both"/>
              <w:rPr>
                <w:rFonts w:ascii="Arial" w:hAnsi="Arial"/>
                <w:noProof/>
                <w:lang w:eastAsia="es-ES_tradnl"/>
              </w:rPr>
            </w:pPr>
          </w:p>
        </w:tc>
      </w:tr>
      <w:tr w:rsidR="00DC4A79" w14:paraId="156908F7" w14:textId="77777777">
        <w:tc>
          <w:tcPr>
            <w:tcW w:w="8714" w:type="dxa"/>
            <w:shd w:val="clear" w:color="auto" w:fill="003366"/>
          </w:tcPr>
          <w:p w14:paraId="32703333" w14:textId="77777777" w:rsidR="00DC4A79" w:rsidRPr="00FC332E" w:rsidRDefault="006A4DED" w:rsidP="006A4DED">
            <w:pPr>
              <w:tabs>
                <w:tab w:val="left" w:pos="1840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Procedencia</w:t>
            </w:r>
          </w:p>
        </w:tc>
      </w:tr>
      <w:tr w:rsidR="00DC4A79" w14:paraId="4525C406" w14:textId="77777777">
        <w:tc>
          <w:tcPr>
            <w:tcW w:w="8714" w:type="dxa"/>
            <w:shd w:val="clear" w:color="auto" w:fill="FFFFFF"/>
          </w:tcPr>
          <w:p w14:paraId="7989B29C" w14:textId="77777777" w:rsidR="00DC4A79" w:rsidRPr="00FC332E" w:rsidRDefault="00DC4A79" w:rsidP="00DC4A79">
            <w:pPr>
              <w:tabs>
                <w:tab w:val="left" w:pos="6048"/>
              </w:tabs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noProof/>
                <w:lang w:eastAsia="es-ES_tradnl"/>
              </w:rPr>
              <w:tab/>
            </w:r>
          </w:p>
          <w:p w14:paraId="3296046E" w14:textId="0C43FF9B" w:rsidR="00DC4A79" w:rsidRDefault="004A4AC4" w:rsidP="00D270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Alemania</w:t>
            </w:r>
          </w:p>
          <w:p w14:paraId="4034D03E" w14:textId="77777777" w:rsidR="00D27046" w:rsidRPr="00FC332E" w:rsidRDefault="00D27046" w:rsidP="00D27046">
            <w:pPr>
              <w:rPr>
                <w:rFonts w:ascii="Arial" w:hAnsi="Arial"/>
                <w:noProof/>
                <w:lang w:eastAsia="es-ES_tradnl"/>
              </w:rPr>
            </w:pPr>
          </w:p>
        </w:tc>
      </w:tr>
      <w:tr w:rsidR="006A4DED" w14:paraId="6077460A" w14:textId="77777777">
        <w:tc>
          <w:tcPr>
            <w:tcW w:w="8714" w:type="dxa"/>
            <w:shd w:val="clear" w:color="auto" w:fill="003366"/>
          </w:tcPr>
          <w:p w14:paraId="54DDEA6D" w14:textId="77777777" w:rsidR="006A4DED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Características Relevantes:</w:t>
            </w:r>
          </w:p>
        </w:tc>
      </w:tr>
      <w:tr w:rsidR="006A4DED" w14:paraId="5B4F159C" w14:textId="77777777">
        <w:tc>
          <w:tcPr>
            <w:tcW w:w="8714" w:type="dxa"/>
            <w:shd w:val="clear" w:color="auto" w:fill="FFFFFF"/>
          </w:tcPr>
          <w:p w14:paraId="5AC6E3CB" w14:textId="73FBC23A" w:rsidR="006A4DED" w:rsidRPr="00FC332E" w:rsidRDefault="006A4DED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noProof/>
                <w:lang w:eastAsia="es-ES_tradnl"/>
              </w:rPr>
              <w:tab/>
            </w:r>
          </w:p>
          <w:p w14:paraId="692F0978" w14:textId="26D8C04B" w:rsidR="006A4DED" w:rsidRDefault="00FF08C2" w:rsidP="00FF08C2">
            <w:pPr>
              <w:pStyle w:val="Prrafodelista"/>
              <w:numPr>
                <w:ilvl w:val="0"/>
                <w:numId w:val="2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Proporciona un lisado del tejido de manera segura y rápida.</w:t>
            </w:r>
          </w:p>
          <w:p w14:paraId="10700746" w14:textId="35A8A5D2" w:rsidR="00FF08C2" w:rsidRDefault="00FF08C2" w:rsidP="00FF08C2">
            <w:pPr>
              <w:pStyle w:val="Prrafodelista"/>
              <w:numPr>
                <w:ilvl w:val="0"/>
                <w:numId w:val="2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Tr</w:t>
            </w:r>
            <w:r w:rsidR="00587095">
              <w:rPr>
                <w:rFonts w:ascii="Arial" w:hAnsi="Arial"/>
                <w:noProof/>
                <w:lang w:eastAsia="es-ES_tradnl"/>
              </w:rPr>
              <w:t>abaja en formato de tubos de 1.2</w:t>
            </w:r>
            <w:r>
              <w:rPr>
                <w:rFonts w:ascii="Arial" w:hAnsi="Arial"/>
                <w:noProof/>
                <w:lang w:eastAsia="es-ES_tradnl"/>
              </w:rPr>
              <w:t xml:space="preserve"> y 2.0 ml.</w:t>
            </w:r>
          </w:p>
          <w:p w14:paraId="6455D702" w14:textId="77777777" w:rsidR="00FF08C2" w:rsidRDefault="00FF08C2" w:rsidP="00FF08C2">
            <w:pPr>
              <w:pStyle w:val="Prrafodelista"/>
              <w:numPr>
                <w:ilvl w:val="0"/>
                <w:numId w:val="2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Posee una gran variedad de accesorios que permiten el lisado de cualquier tipo de muestra.</w:t>
            </w:r>
          </w:p>
          <w:p w14:paraId="41F3CC02" w14:textId="77777777" w:rsidR="00587095" w:rsidRDefault="00FF08C2" w:rsidP="00FF08C2">
            <w:pPr>
              <w:pStyle w:val="Prrafodelista"/>
              <w:numPr>
                <w:ilvl w:val="0"/>
                <w:numId w:val="2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Proporciona resultado</w:t>
            </w:r>
            <w:r w:rsidR="00587095">
              <w:rPr>
                <w:rFonts w:ascii="Arial" w:hAnsi="Arial"/>
                <w:noProof/>
                <w:lang w:eastAsia="es-ES_tradnl"/>
              </w:rPr>
              <w:t>s reproducibles en muestras difí</w:t>
            </w:r>
            <w:r>
              <w:rPr>
                <w:rFonts w:ascii="Arial" w:hAnsi="Arial"/>
                <w:noProof/>
                <w:lang w:eastAsia="es-ES_tradnl"/>
              </w:rPr>
              <w:t>ciles de lisar</w:t>
            </w:r>
            <w:r w:rsidR="00587095">
              <w:rPr>
                <w:rFonts w:ascii="Arial" w:hAnsi="Arial"/>
                <w:noProof/>
                <w:lang w:eastAsia="es-ES_tradnl"/>
              </w:rPr>
              <w:t>.</w:t>
            </w:r>
          </w:p>
          <w:p w14:paraId="080C4F97" w14:textId="77777777" w:rsidR="00FF08C2" w:rsidRDefault="00587095" w:rsidP="00FF08C2">
            <w:pPr>
              <w:pStyle w:val="Prrafodelista"/>
              <w:numPr>
                <w:ilvl w:val="0"/>
                <w:numId w:val="2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 xml:space="preserve">Compatible con cualquier kit de extracción. </w:t>
            </w:r>
            <w:r w:rsidR="00FF08C2">
              <w:rPr>
                <w:rFonts w:ascii="Arial" w:hAnsi="Arial"/>
                <w:noProof/>
                <w:lang w:eastAsia="es-ES_tradnl"/>
              </w:rPr>
              <w:t xml:space="preserve">  </w:t>
            </w:r>
          </w:p>
          <w:p w14:paraId="336DA67A" w14:textId="77777777" w:rsidR="00587095" w:rsidRDefault="00587095" w:rsidP="00FF08C2">
            <w:pPr>
              <w:pStyle w:val="Prrafodelista"/>
              <w:numPr>
                <w:ilvl w:val="0"/>
                <w:numId w:val="2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Tiempos de corrida rápidos de 15 a 2 ó 3 minutos.</w:t>
            </w:r>
          </w:p>
          <w:p w14:paraId="74B58D54" w14:textId="1C572EDF" w:rsidR="00587095" w:rsidRDefault="00587095" w:rsidP="00FF08C2">
            <w:pPr>
              <w:pStyle w:val="Prrafodelista"/>
              <w:numPr>
                <w:ilvl w:val="0"/>
                <w:numId w:val="2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 xml:space="preserve">Trabaja en formatos de 2 x 96 tubos de 1.2 ml ó 2 x 24 tubos de 2.0 ml. </w:t>
            </w:r>
          </w:p>
          <w:p w14:paraId="616ADA8C" w14:textId="4C83BB4E" w:rsidR="00587095" w:rsidRPr="00FF08C2" w:rsidRDefault="00587095" w:rsidP="00587095">
            <w:pPr>
              <w:pStyle w:val="Prrafodelista"/>
              <w:rPr>
                <w:rFonts w:ascii="Arial" w:hAnsi="Arial"/>
                <w:noProof/>
                <w:lang w:eastAsia="es-ES_tradnl"/>
              </w:rPr>
            </w:pPr>
          </w:p>
        </w:tc>
      </w:tr>
      <w:tr w:rsidR="006A4DED" w14:paraId="161C46A9" w14:textId="77777777">
        <w:tc>
          <w:tcPr>
            <w:tcW w:w="8714" w:type="dxa"/>
            <w:shd w:val="clear" w:color="auto" w:fill="003366"/>
          </w:tcPr>
          <w:p w14:paraId="03FCD8F8" w14:textId="77777777" w:rsidR="006A4DED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Aplicaciones y Usos (Alcances):</w:t>
            </w:r>
          </w:p>
        </w:tc>
      </w:tr>
      <w:tr w:rsidR="006A4DED" w14:paraId="181C7E77" w14:textId="77777777">
        <w:tc>
          <w:tcPr>
            <w:tcW w:w="8714" w:type="dxa"/>
            <w:shd w:val="clear" w:color="auto" w:fill="FFFFFF"/>
          </w:tcPr>
          <w:p w14:paraId="55CF8D72" w14:textId="77777777" w:rsidR="006A4DED" w:rsidRPr="00FC332E" w:rsidRDefault="006A4DED" w:rsidP="00B16236">
            <w:pPr>
              <w:tabs>
                <w:tab w:val="left" w:pos="6992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noProof/>
                <w:lang w:eastAsia="es-ES_tradnl"/>
              </w:rPr>
              <w:tab/>
            </w:r>
          </w:p>
          <w:p w14:paraId="16723644" w14:textId="024F22DB" w:rsidR="006A4DED" w:rsidRPr="00B16236" w:rsidRDefault="00B16236" w:rsidP="00B162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/>
                <w:noProof/>
                <w:lang w:eastAsia="es-ES_tradnl"/>
              </w:rPr>
            </w:pPr>
            <w:r w:rsidRPr="00B16236">
              <w:rPr>
                <w:rFonts w:ascii="Arial" w:hAnsi="Arial"/>
                <w:noProof/>
                <w:lang w:eastAsia="es-ES_tradnl"/>
              </w:rPr>
              <w:t xml:space="preserve">El TissueLyser II está bien adaptado para la disrupción de tejiodos </w:t>
            </w:r>
            <w:r w:rsidRPr="00B16236">
              <w:rPr>
                <w:rFonts w:ascii="Arial" w:hAnsi="Arial"/>
                <w:noProof/>
                <w:lang w:eastAsia="es-ES_tradnl"/>
              </w:rPr>
              <w:lastRenderedPageBreak/>
              <w:t xml:space="preserve">humanos, animales, vegetales, bacterianos y de levaduras. Logrando la purificación de ADN de alta calidad, ARN, microRNAs, y proteínas, incluso con tejidos difíciles de lisar. </w:t>
            </w:r>
            <w:r w:rsidR="00FF08C2">
              <w:rPr>
                <w:rFonts w:ascii="Arial" w:hAnsi="Arial"/>
                <w:noProof/>
                <w:lang w:eastAsia="es-ES_tradnl"/>
              </w:rPr>
              <w:t xml:space="preserve">Los cuales se pueden utilizar en distintas aplicaciones como: genómica, identificación humana, transcriptoma y proteómica. </w:t>
            </w:r>
          </w:p>
          <w:p w14:paraId="36989F1A" w14:textId="77777777" w:rsidR="006A4DED" w:rsidRPr="00FC332E" w:rsidRDefault="006A4DED" w:rsidP="00B16236">
            <w:pPr>
              <w:tabs>
                <w:tab w:val="left" w:pos="6992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</w:p>
        </w:tc>
      </w:tr>
      <w:tr w:rsidR="006A4DED" w14:paraId="79D6A4C3" w14:textId="77777777">
        <w:tc>
          <w:tcPr>
            <w:tcW w:w="8714" w:type="dxa"/>
            <w:shd w:val="clear" w:color="auto" w:fill="003366"/>
          </w:tcPr>
          <w:p w14:paraId="182C62CA" w14:textId="77777777" w:rsidR="006A4DED" w:rsidRPr="00FC332E" w:rsidRDefault="006A4DED" w:rsidP="006A4DED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lastRenderedPageBreak/>
              <w:t>Ejemplos del equipo (Imágenes):</w:t>
            </w:r>
          </w:p>
        </w:tc>
      </w:tr>
      <w:tr w:rsidR="006A4DED" w14:paraId="75883363" w14:textId="77777777" w:rsidTr="006A4DED">
        <w:tc>
          <w:tcPr>
            <w:tcW w:w="8714" w:type="dxa"/>
            <w:shd w:val="clear" w:color="auto" w:fill="FFFFFF"/>
          </w:tcPr>
          <w:p w14:paraId="3A7BD4AF" w14:textId="77777777" w:rsidR="006A4DED" w:rsidRPr="00FC332E" w:rsidRDefault="006A4DED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noProof/>
                <w:lang w:eastAsia="es-ES_tradnl"/>
              </w:rPr>
              <w:tab/>
            </w:r>
          </w:p>
          <w:p w14:paraId="3B9B238D" w14:textId="7F9E8806" w:rsidR="006A4DED" w:rsidRDefault="00086A4F" w:rsidP="008125D5">
            <w:pPr>
              <w:jc w:val="center"/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Helvetica" w:hAnsi="Helvetica" w:cs="Helvetica"/>
                <w:noProof/>
                <w:lang w:val="es-MX" w:eastAsia="es-MX"/>
              </w:rPr>
              <w:drawing>
                <wp:inline distT="0" distB="0" distL="0" distR="0" wp14:anchorId="0242624E" wp14:editId="32FFBDD6">
                  <wp:extent cx="4105275" cy="3552825"/>
                  <wp:effectExtent l="0" t="0" r="9525" b="9525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00" r="34500"/>
                          <a:stretch/>
                        </pic:blipFill>
                        <pic:spPr bwMode="auto">
                          <a:xfrm>
                            <a:off x="0" y="0"/>
                            <a:ext cx="4114905" cy="356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FA98F3" w14:textId="77777777" w:rsidR="00086A4F" w:rsidRDefault="00086A4F" w:rsidP="00FC332E">
            <w:pPr>
              <w:rPr>
                <w:rFonts w:ascii="Arial" w:hAnsi="Arial"/>
                <w:noProof/>
                <w:lang w:eastAsia="es-ES_tradnl"/>
              </w:rPr>
            </w:pPr>
          </w:p>
          <w:p w14:paraId="49AFBA3B" w14:textId="77777777" w:rsidR="006A4DED" w:rsidRPr="00FC332E" w:rsidRDefault="006A4DED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  <w:tr w:rsidR="006A4DED" w14:paraId="74665C29" w14:textId="77777777" w:rsidTr="006A4DED">
        <w:tc>
          <w:tcPr>
            <w:tcW w:w="8714" w:type="dxa"/>
            <w:shd w:val="clear" w:color="auto" w:fill="003366"/>
          </w:tcPr>
          <w:p w14:paraId="05284186" w14:textId="77777777" w:rsidR="006A4DED" w:rsidRPr="006A4DED" w:rsidRDefault="006A4DED" w:rsidP="006A4DED">
            <w:pPr>
              <w:rPr>
                <w:rFonts w:ascii="Arial" w:hAnsi="Arial"/>
                <w:color w:val="FFFFFF" w:themeColor="background1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Costo</w:t>
            </w:r>
            <w:r>
              <w:rPr>
                <w:rFonts w:ascii="Arial" w:hAnsi="Arial"/>
                <w:color w:val="FFFFFF" w:themeColor="background1"/>
              </w:rPr>
              <w:t xml:space="preserve"> – Mínimo y Máximo</w:t>
            </w:r>
          </w:p>
        </w:tc>
      </w:tr>
      <w:tr w:rsidR="006A4DED" w14:paraId="14C7DBDC" w14:textId="77777777">
        <w:tc>
          <w:tcPr>
            <w:tcW w:w="8714" w:type="dxa"/>
            <w:shd w:val="clear" w:color="auto" w:fill="FFFFFF"/>
          </w:tcPr>
          <w:p w14:paraId="15EA90BA" w14:textId="77777777" w:rsidR="006A4DED" w:rsidRDefault="006A4DED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14:paraId="18228ED1" w14:textId="6BE0A7F9" w:rsidR="008125D5" w:rsidRPr="00E46B1A" w:rsidRDefault="008125D5" w:rsidP="008125D5">
            <w:pPr>
              <w:rPr>
                <w:rFonts w:ascii="Arial" w:hAnsi="Arial" w:cs="Arial"/>
                <w:noProof/>
                <w:lang w:eastAsia="es-ES_tradnl"/>
              </w:rPr>
            </w:pPr>
            <w:r w:rsidRPr="00E46B1A">
              <w:rPr>
                <w:rFonts w:ascii="Arial" w:hAnsi="Arial" w:cs="Arial"/>
              </w:rPr>
              <w:t>Mínimo  $</w:t>
            </w:r>
            <w:r>
              <w:rPr>
                <w:rFonts w:ascii="Arial" w:hAnsi="Arial" w:cs="Arial"/>
              </w:rPr>
              <w:t xml:space="preserve"> </w:t>
            </w:r>
            <w:r w:rsidR="003D5B8E">
              <w:rPr>
                <w:rFonts w:ascii="Arial" w:hAnsi="Arial" w:cs="Arial"/>
              </w:rPr>
              <w:t>380,0</w:t>
            </w:r>
            <w:r w:rsidR="0097645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0.00</w:t>
            </w:r>
          </w:p>
          <w:p w14:paraId="00CD93C3" w14:textId="2813D525" w:rsidR="008125D5" w:rsidRPr="00625779" w:rsidRDefault="008125D5" w:rsidP="008125D5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 w:cs="Arial"/>
                <w:noProof/>
                <w:lang w:eastAsia="es-ES_tradnl"/>
              </w:rPr>
              <w:t xml:space="preserve">Maximo $ </w:t>
            </w:r>
            <w:r w:rsidR="003D5B8E">
              <w:rPr>
                <w:rFonts w:ascii="Arial" w:hAnsi="Arial" w:cs="Arial"/>
                <w:noProof/>
                <w:lang w:eastAsia="es-ES_tradnl"/>
              </w:rPr>
              <w:t>450</w:t>
            </w:r>
            <w:bookmarkStart w:id="0" w:name="_GoBack"/>
            <w:bookmarkEnd w:id="0"/>
            <w:r w:rsidR="00976457">
              <w:rPr>
                <w:rFonts w:ascii="Arial" w:hAnsi="Arial" w:cs="Arial"/>
                <w:noProof/>
                <w:lang w:eastAsia="es-ES_tradnl"/>
              </w:rPr>
              <w:t>,00</w:t>
            </w:r>
            <w:r>
              <w:rPr>
                <w:rFonts w:ascii="Arial" w:hAnsi="Arial" w:cs="Arial"/>
                <w:noProof/>
                <w:lang w:eastAsia="es-ES_tradnl"/>
              </w:rPr>
              <w:t>0</w:t>
            </w:r>
            <w:r w:rsidRPr="00E46B1A">
              <w:rPr>
                <w:rFonts w:ascii="Arial" w:hAnsi="Arial" w:cs="Arial"/>
                <w:noProof/>
                <w:lang w:eastAsia="es-ES_tradnl"/>
              </w:rPr>
              <w:t>.00</w:t>
            </w:r>
          </w:p>
          <w:p w14:paraId="4F6C9CCA" w14:textId="77777777" w:rsidR="006A4DED" w:rsidRPr="00FC332E" w:rsidRDefault="006A4DED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</w:tbl>
    <w:p w14:paraId="524A3EAB" w14:textId="77777777" w:rsidR="0016347A" w:rsidRDefault="0016347A"/>
    <w:sectPr w:rsidR="0016347A" w:rsidSect="00DC4A7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56E6"/>
    <w:multiLevelType w:val="hybridMultilevel"/>
    <w:tmpl w:val="0DB8C0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17170"/>
    <w:multiLevelType w:val="hybridMultilevel"/>
    <w:tmpl w:val="5BE25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7A"/>
    <w:rsid w:val="00055A20"/>
    <w:rsid w:val="00086A4F"/>
    <w:rsid w:val="0016347A"/>
    <w:rsid w:val="003D5B8E"/>
    <w:rsid w:val="004128F2"/>
    <w:rsid w:val="00487F8A"/>
    <w:rsid w:val="004A4AC4"/>
    <w:rsid w:val="00587095"/>
    <w:rsid w:val="00625779"/>
    <w:rsid w:val="006A4DED"/>
    <w:rsid w:val="008125D5"/>
    <w:rsid w:val="00976457"/>
    <w:rsid w:val="00B16236"/>
    <w:rsid w:val="00CF5D10"/>
    <w:rsid w:val="00D27046"/>
    <w:rsid w:val="00DC4A79"/>
    <w:rsid w:val="00E05FD4"/>
    <w:rsid w:val="00E34EA3"/>
    <w:rsid w:val="00F73998"/>
    <w:rsid w:val="00FC332E"/>
    <w:rsid w:val="00FF08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26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4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6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4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6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Coahuila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Arriola</dc:creator>
  <cp:lastModifiedBy>Jesus Ayala</cp:lastModifiedBy>
  <cp:revision>6</cp:revision>
  <dcterms:created xsi:type="dcterms:W3CDTF">2014-08-07T18:42:00Z</dcterms:created>
  <dcterms:modified xsi:type="dcterms:W3CDTF">2014-08-11T22:34:00Z</dcterms:modified>
</cp:coreProperties>
</file>